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6" w:after="6"/>
        <w:rPr>
          <w:rFonts w:ascii="Century Gothic" w:hAnsi="Century Gothic"/>
          <w:b/>
        </w:rPr>
      </w:pPr>
    </w:p>
    <w:p>
      <w:pPr>
        <w:spacing w:before="6" w:after="6"/>
        <w:rPr>
          <w:rFonts w:ascii="Century Gothic" w:hAnsi="Century Gothic"/>
          <w:b/>
        </w:rPr>
      </w:pPr>
      <w:r>
        <w:rPr>
          <w:rFonts w:ascii="Century Gothic" w:hAnsi="Century Gothic"/>
          <w:b/>
        </w:rPr>
        <w:t>MEDIA RELEASE</w:t>
      </w:r>
    </w:p>
    <w:p>
      <w:pPr>
        <w:spacing w:before="6" w:after="6"/>
        <w:rPr>
          <w:rFonts w:ascii="Century Gothic" w:hAnsi="Century Gothic"/>
        </w:rPr>
      </w:pPr>
      <w:r>
        <w:rPr>
          <w:rFonts w:ascii="Century Gothic" w:hAnsi="Century Gothic"/>
          <w:i/>
        </w:rPr>
        <w:t>For immediate release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October 2014</w:t>
      </w:r>
      <w:r>
        <w:rPr>
          <w:rFonts w:ascii="Century Gothic" w:hAnsi="Century Gothic"/>
        </w:rPr>
        <w:tab/>
      </w:r>
      <w:r>
        <w:rPr>
          <w:rFonts w:ascii="Century Gothic" w:hAnsi="Century Gothic"/>
        </w:rPr>
        <w:tab/>
      </w:r>
      <w:r>
        <w:rPr>
          <w:rFonts w:ascii="Century Gothic" w:hAnsi="Century Gothic"/>
        </w:rPr>
        <w:tab/>
      </w:r>
    </w:p>
    <w:p>
      <w:pPr>
        <w:spacing w:before="6" w:after="6"/>
        <w:jc w:val="center"/>
        <w:rPr>
          <w:rFonts w:ascii="Century Gothic" w:hAnsi="Century Gothic"/>
          <w:b/>
        </w:rPr>
      </w:pPr>
      <w:r>
        <w:rPr>
          <w:rFonts w:ascii="AvantGarde" w:hAnsi="AvantGarde"/>
          <w:b/>
          <w:bCs/>
          <w:color w:val="012169"/>
          <w:sz w:val="24"/>
          <w:szCs w:val="24"/>
        </w:rPr>
        <w:t>Regional areas show growth</w:t>
      </w:r>
    </w:p>
    <w:p>
      <w:pPr>
        <w:spacing w:before="6" w:after="6"/>
        <w:jc w:val="both"/>
        <w:rPr>
          <w:rFonts w:ascii="Century Gothic" w:hAnsi="Century Gothic"/>
        </w:rPr>
      </w:pPr>
    </w:p>
    <w:p>
      <w:pPr>
        <w:spacing w:before="6" w:after="6"/>
        <w:jc w:val="both"/>
        <w:rPr>
          <w:rFonts w:ascii="Century Gothic" w:hAnsi="Century Gothic"/>
          <w:sz w:val="2"/>
        </w:rPr>
      </w:pPr>
    </w:p>
    <w:p>
      <w:pPr>
        <w:spacing w:before="120"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Australia’s leading tax depreciation specialist, BMT, has released data which suggests rural and regional locations across Australia have experienced bumper property investment activity during the recent financial year.</w:t>
      </w:r>
    </w:p>
    <w:p>
      <w:pPr>
        <w:spacing w:before="120"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Point Pirie in South Australia lead the nation with a 169 per cent increase in the number of tax depreciation schedules requested during the period, while New England in New South Wales rose 89 per cent and Victoria’s Oven region grew 58 per cent.</w:t>
      </w:r>
    </w:p>
    <w:p>
      <w:pPr>
        <w:pStyle w:val="BodyText2"/>
        <w:spacing w:before="120" w:after="120" w:line="360" w:lineRule="auto"/>
        <w:jc w:val="left"/>
        <w:rPr>
          <w:rFonts w:ascii="Century Gothic" w:hAnsi="Century Gothic"/>
          <w:sz w:val="20"/>
          <w:szCs w:val="20"/>
        </w:rPr>
      </w:pPr>
      <w:r>
        <w:rPr>
          <w:rFonts w:ascii="Century Gothic" w:hAnsi="Century Gothic"/>
          <w:sz w:val="20"/>
          <w:szCs w:val="20"/>
        </w:rPr>
        <w:t xml:space="preserve"> “Though such a result may appear counterintuitive, these increases may be owing to the cheaper house prices and higher rental yields found in such locations,” said BMT managing director, Brad Beer.</w:t>
      </w:r>
    </w:p>
    <w:p>
      <w:pPr>
        <w:spacing w:before="120"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“With many capital cities experiencing considerable capital gains over the past few years, some investors appear to be seeking out alternate market segments in order to enter the market faster and at a lower price while still realising a solid return.”</w:t>
      </w:r>
    </w:p>
    <w:p>
      <w:pPr>
        <w:spacing w:before="120"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The increases in individual rural and regional locations significantly outpaced the state-wide average activity growth found in South Australia (20 per cent), New South Wales (23 per cent) and Victoria (19 per cent).</w:t>
      </w:r>
    </w:p>
    <w:p>
      <w:pPr>
        <w:spacing w:before="120"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The South Australian wine region of Riverland came in second nation-wide by increasing 141 per cent. </w:t>
      </w:r>
    </w:p>
    <w:p>
      <w:pPr>
        <w:spacing w:before="120"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The New South Wales south-coast city of Nowra achieved a 64 per cent increase.</w:t>
      </w:r>
    </w:p>
    <w:p>
      <w:pPr>
        <w:spacing w:before="120"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Tasmania’s North-East region rose 46 per cent despite greater Tasmania not actually experiencing an increase at all.</w:t>
      </w:r>
    </w:p>
    <w:p>
      <w:pPr>
        <w:spacing w:before="120"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Queensland’s Logan City between Brisbane and the Gold Coast, three quarters of which is covered by wooded vegetation, moved up 66 per cent while greater Queensland achieved just 19 per cent.</w:t>
      </w:r>
    </w:p>
    <w:p>
      <w:pPr>
        <w:spacing w:before="120"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According to BMT these types of towns and regions have been generating investor interest for more than just the past financial year, with Logan City in particular steadily transforming into a vibrant hub of investment activity.</w:t>
      </w:r>
    </w:p>
    <w:p>
      <w:pPr>
        <w:spacing w:before="120"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lastRenderedPageBreak/>
        <w:t>“These locations present a unique opportunity for investors willing to think outside the box and take advantage of regions able to still provide returns but at a much lower cost of entry,” concluded Brad Beer.</w:t>
      </w:r>
    </w:p>
    <w:p>
      <w:pPr>
        <w:spacing w:before="6" w:after="6"/>
        <w:jc w:val="center"/>
        <w:rPr>
          <w:rFonts w:ascii="Century Gothic" w:hAnsi="Century Gothic"/>
          <w:b/>
          <w:bCs/>
        </w:rPr>
      </w:pPr>
      <w:r>
        <w:rPr>
          <w:rFonts w:ascii="Century Gothic" w:hAnsi="Century Gothic"/>
          <w:b/>
          <w:bCs/>
        </w:rPr>
        <w:t>*ENDS*</w:t>
      </w:r>
    </w:p>
    <w:p>
      <w:pPr>
        <w:rPr>
          <w:rStyle w:val="Hyperlink"/>
          <w:rFonts w:ascii="Century Gothic" w:hAnsi="Century Gothic"/>
          <w:color w:val="000000" w:themeColor="text1"/>
        </w:rPr>
      </w:pPr>
      <w:r>
        <w:rPr>
          <w:rFonts w:ascii="Century Gothic" w:hAnsi="Century Gothic"/>
          <w:b/>
        </w:rPr>
        <w:br/>
        <w:t>Media contact:</w:t>
      </w:r>
      <w:r>
        <w:rPr>
          <w:rFonts w:ascii="Century Gothic" w:hAnsi="Century Gothic"/>
        </w:rPr>
        <w:t xml:space="preserve"> Brad Beer, 0413 271 777, </w:t>
      </w:r>
      <w:hyperlink r:id="rId7" w:history="1">
        <w:r>
          <w:rPr>
            <w:rStyle w:val="Hyperlink"/>
            <w:rFonts w:ascii="Century Gothic" w:hAnsi="Century Gothic"/>
          </w:rPr>
          <w:t>brad.beer@bmtnews.com.au</w:t>
        </w:r>
      </w:hyperlink>
      <w:r>
        <w:rPr>
          <w:rFonts w:ascii="Century Gothic" w:hAnsi="Century Gothic"/>
        </w:rPr>
        <w:br/>
      </w:r>
    </w:p>
    <w:p>
      <w:pPr>
        <w:spacing w:before="0" w:after="0"/>
        <w:rPr>
          <w:rStyle w:val="Hyperlink"/>
          <w:rFonts w:ascii="Century Gothic" w:hAnsi="Century Gothic"/>
          <w:b/>
          <w:color w:val="000000" w:themeColor="text1"/>
        </w:rPr>
      </w:pPr>
      <w:r>
        <w:rPr>
          <w:rStyle w:val="Hyperlink"/>
          <w:rFonts w:ascii="Century Gothic" w:hAnsi="Century Gothic"/>
          <w:b/>
          <w:color w:val="000000" w:themeColor="text1"/>
        </w:rPr>
        <w:t>About BMT Tax Depreciation</w:t>
      </w:r>
      <w:r>
        <w:rPr>
          <w:rStyle w:val="Hyperlink"/>
          <w:rFonts w:ascii="Century Gothic" w:hAnsi="Century Gothic"/>
          <w:b/>
          <w:color w:val="000000" w:themeColor="text1"/>
        </w:rPr>
        <w:br/>
      </w:r>
    </w:p>
    <w:p>
      <w:pPr>
        <w:spacing w:line="360" w:lineRule="auto"/>
        <w:jc w:val="both"/>
        <w:rPr>
          <w:rFonts w:ascii="Century Gothic" w:hAnsi="Century Gothic"/>
          <w:color w:val="000000" w:themeColor="text1"/>
        </w:rPr>
      </w:pPr>
      <w:r>
        <w:rPr>
          <w:rStyle w:val="Hyperlink"/>
          <w:rFonts w:ascii="Century Gothic" w:hAnsi="Century Gothic"/>
          <w:color w:val="000000" w:themeColor="text1"/>
          <w:sz w:val="20"/>
          <w:szCs w:val="20"/>
        </w:rPr>
        <w:t xml:space="preserve">BMT </w:t>
      </w:r>
      <w:r>
        <w:rPr>
          <w:rFonts w:ascii="Century Gothic" w:hAnsi="Century Gothic"/>
          <w:sz w:val="20"/>
          <w:szCs w:val="20"/>
        </w:rPr>
        <w:t xml:space="preserve">Tax Depreciation (BMT) </w:t>
      </w:r>
      <w:r>
        <w:rPr>
          <w:rStyle w:val="Hyperlink"/>
          <w:rFonts w:ascii="Century Gothic" w:hAnsi="Century Gothic"/>
          <w:color w:val="000000" w:themeColor="text1"/>
          <w:sz w:val="20"/>
          <w:szCs w:val="20"/>
        </w:rPr>
        <w:t>is a Quantity Surveying company specialising in the provision of tax depreciation schedules for residential and commercial investment properties. Commencing business in 1997</w:t>
      </w:r>
      <w:r>
        <w:rPr>
          <w:rFonts w:ascii="Century Gothic" w:hAnsi="Century Gothic"/>
          <w:sz w:val="20"/>
          <w:szCs w:val="20"/>
        </w:rPr>
        <w:t>, demand from property investors nationally has seen business expand Australia-wide with offices now located in Sydney, Parramatta, Melbourne, Brisbane, Newcastle, Adelaide, Perth, Gold Coast, Cairns, Canberra, Hobart and Darwin.</w:t>
      </w:r>
      <w:bookmarkStart w:id="0" w:name="_GoBack"/>
      <w:bookmarkEnd w:id="0"/>
    </w:p>
    <w:sectPr>
      <w:headerReference w:type="default" r:id="rId8"/>
      <w:footerReference w:type="default" r:id="rId9"/>
      <w:pgSz w:w="12240" w:h="15840"/>
      <w:pgMar w:top="0" w:right="1183" w:bottom="709" w:left="1134" w:header="708" w:footer="1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vantGard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ind w:right="-142"/>
      <w:jc w:val="right"/>
      <w:rPr>
        <w:noProof/>
        <w:lang w:eastAsia="en-AU"/>
      </w:rPr>
    </w:pPr>
  </w:p>
  <w:p>
    <w:pPr>
      <w:ind w:right="-142"/>
      <w:jc w:val="right"/>
      <w:rPr>
        <w:noProof/>
        <w:lang w:eastAsia="en-AU"/>
      </w:rPr>
    </w:pPr>
    <w:r>
      <w:rPr>
        <w:noProof/>
        <w:lang w:eastAsia="en-AU"/>
      </w:rPr>
      <w:drawing>
        <wp:inline distT="0" distB="0" distL="0" distR="0">
          <wp:extent cx="6293796" cy="125486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ic Letterhead Image.jpg"/>
                  <pic:cNvPicPr/>
                </pic:nvPicPr>
                <pic:blipFill rotWithShape="1">
                  <a:blip r:embed="rId1">
                    <a:extLst>
                      <a:ext uri="{28A0092B-C50C-407E-A947-70E740481C1C}">
                        <a14:useLocalDpi xmlns:a14="http://schemas.microsoft.com/office/drawing/2010/main" val="0"/>
                      </a:ext>
                    </a:extLst>
                  </a:blip>
                  <a:srcRect t="16216" b="14046"/>
                  <a:stretch/>
                </pic:blipFill>
                <pic:spPr bwMode="auto">
                  <a:xfrm>
                    <a:off x="0" y="0"/>
                    <a:ext cx="6301105" cy="125632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AU"/>
      </w:rPr>
      <w:t xml:space="preserve"> </w:t>
    </w:r>
    <w:r>
      <w:rPr>
        <w:noProof/>
        <w:lang w:eastAsia="en-AU"/>
      </w:rPr>
      <mc:AlternateContent>
        <mc:Choice Requires="wps">
          <w:drawing>
            <wp:anchor distT="4294967295" distB="4294967295" distL="114300" distR="114300" simplePos="0" relativeHeight="251659264" behindDoc="0" locked="0" layoutInCell="1" allowOverlap="1">
              <wp:simplePos x="0" y="0"/>
              <wp:positionH relativeFrom="column">
                <wp:posOffset>-73660</wp:posOffset>
              </wp:positionH>
              <wp:positionV relativeFrom="paragraph">
                <wp:posOffset>-50166</wp:posOffset>
              </wp:positionV>
              <wp:extent cx="6412865" cy="0"/>
              <wp:effectExtent l="0" t="19050" r="69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2865"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pt,-3.95pt" to="499.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" strokecolor="#1f497d [3215]" strokeweight="2.25pt">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tabs>
        <w:tab w:val="clear" w:pos="4320"/>
        <w:tab w:val="clear" w:pos="8640"/>
      </w:tabs>
      <w:jc w:val="center"/>
    </w:pPr>
    <w:r>
      <w:rPr>
        <w:noProof/>
        <w:lang w:eastAsia="en-AU"/>
      </w:rPr>
      <w:drawing>
        <wp:inline distT="0" distB="0" distL="0" distR="0">
          <wp:extent cx="2660400" cy="723600"/>
          <wp:effectExtent l="0" t="0" r="698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MT Tax Depreciation.jpg"/>
                  <pic:cNvPicPr/>
                </pic:nvPicPr>
                <pic:blipFill rotWithShape="1">
                  <a:blip r:embed="rId1">
                    <a:extLst>
                      <a:ext uri="{28A0092B-C50C-407E-A947-70E740481C1C}">
                        <a14:useLocalDpi xmlns:a14="http://schemas.microsoft.com/office/drawing/2010/main" val="0"/>
                      </a:ext>
                    </a:extLst>
                  </a:blip>
                  <a:srcRect l="6697" r="4910"/>
                  <a:stretch/>
                </pic:blipFill>
                <pic:spPr bwMode="auto">
                  <a:xfrm>
                    <a:off x="0" y="0"/>
                    <a:ext cx="2660400" cy="72360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5:docId w15:val="{F6F982C4-E3C7-4923-A800-FA53C3FB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AU"/>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lang w:val="en-AU"/>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lang w:val="en-AU"/>
    </w:rPr>
  </w:style>
  <w:style w:type="character" w:styleId="Emphasis">
    <w:name w:val="Emphasis"/>
    <w:basedOn w:val="DefaultParagraphFont"/>
    <w:uiPriority w:val="20"/>
    <w:qFormat/>
    <w:locked/>
    <w:rPr>
      <w:b/>
      <w:bCs/>
      <w:i w:val="0"/>
      <w:iCs w:val="0"/>
    </w:rPr>
  </w:style>
  <w:style w:type="paragraph" w:styleId="PlainText">
    <w:name w:val="Plain Text"/>
    <w:basedOn w:val="Normal"/>
    <w:link w:val="PlainTextChar"/>
    <w:uiPriority w:val="99"/>
    <w:unhideWhenUsed/>
    <w:pPr>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Pr>
      <w:rFonts w:ascii="Consolas" w:eastAsiaTheme="minorHAnsi" w:hAnsi="Consolas" w:cs="Consolas"/>
      <w:sz w:val="21"/>
      <w:szCs w:val="21"/>
      <w:lang w:val="en-AU"/>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eastAsia="en-AU"/>
    </w:rPr>
  </w:style>
  <w:style w:type="character" w:styleId="Hyperlink">
    <w:name w:val="Hyperlink"/>
    <w:basedOn w:val="DefaultParagraphFont"/>
    <w:uiPriority w:val="99"/>
    <w:unhideWhenUsed/>
    <w:rPr>
      <w:strike w:val="0"/>
      <w:dstrike w:val="0"/>
      <w:color w:val="00548C"/>
      <w:u w:val="none"/>
      <w:effect w:val="none"/>
    </w:rPr>
  </w:style>
  <w:style w:type="character" w:styleId="Strong">
    <w:name w:val="Strong"/>
    <w:basedOn w:val="DefaultParagraphFont"/>
    <w:uiPriority w:val="22"/>
    <w:qFormat/>
    <w:locked/>
    <w:rPr>
      <w:b/>
      <w:bCs/>
    </w:rPr>
  </w:style>
  <w:style w:type="paragraph" w:styleId="FootnoteText">
    <w:name w:val="footnote text"/>
    <w:basedOn w:val="Normal"/>
    <w:link w:val="FootnoteTextChar"/>
    <w:uiPriority w:val="99"/>
    <w:semiHidden/>
    <w:unhideWhenUsed/>
    <w:pPr>
      <w:spacing w:before="0" w:after="0"/>
    </w:pPr>
    <w:rPr>
      <w:sz w:val="20"/>
      <w:szCs w:val="20"/>
    </w:rPr>
  </w:style>
  <w:style w:type="character" w:customStyle="1" w:styleId="FootnoteTextChar">
    <w:name w:val="Footnote Text Char"/>
    <w:basedOn w:val="DefaultParagraphFont"/>
    <w:link w:val="FootnoteText"/>
    <w:uiPriority w:val="99"/>
    <w:semiHidden/>
    <w:rPr>
      <w:sz w:val="20"/>
      <w:szCs w:val="20"/>
      <w:lang w:val="en-AU"/>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A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AU"/>
    </w:rPr>
  </w:style>
  <w:style w:type="paragraph" w:styleId="ListParagraph">
    <w:name w:val="List Paragraph"/>
    <w:basedOn w:val="Normal"/>
    <w:uiPriority w:val="34"/>
    <w:qFormat/>
    <w:pPr>
      <w:spacing w:before="0" w:after="0"/>
      <w:ind w:left="720"/>
    </w:pPr>
    <w:rPr>
      <w:rFonts w:eastAsiaTheme="minorHAnsi"/>
    </w:rPr>
  </w:style>
  <w:style w:type="paragraph" w:customStyle="1" w:styleId="answer">
    <w:name w:val="answer"/>
    <w:basedOn w:val="Normal"/>
    <w:pPr>
      <w:spacing w:before="100" w:beforeAutospacing="1" w:after="100" w:afterAutospacing="1"/>
    </w:pPr>
    <w:rPr>
      <w:rFonts w:ascii="Times New Roman" w:eastAsia="Times New Roman" w:hAnsi="Times New Roman"/>
      <w:sz w:val="24"/>
      <w:szCs w:val="24"/>
      <w:lang w:eastAsia="en-AU"/>
    </w:rPr>
  </w:style>
  <w:style w:type="paragraph" w:styleId="BodyText2">
    <w:name w:val="Body Text 2"/>
    <w:basedOn w:val="Normal"/>
    <w:link w:val="BodyText2Char"/>
    <w:uiPriority w:val="99"/>
    <w:unhideWhenUsed/>
    <w:pPr>
      <w:spacing w:before="0" w:after="200"/>
      <w:jc w:val="both"/>
    </w:pPr>
    <w:rPr>
      <w:rFonts w:asciiTheme="minorHAnsi" w:hAnsiTheme="minorHAnsi"/>
      <w:color w:val="000000" w:themeColor="text1"/>
    </w:rPr>
  </w:style>
  <w:style w:type="character" w:customStyle="1" w:styleId="BodyText2Char">
    <w:name w:val="Body Text 2 Char"/>
    <w:basedOn w:val="DefaultParagraphFont"/>
    <w:link w:val="BodyText2"/>
    <w:uiPriority w:val="99"/>
    <w:rPr>
      <w:rFonts w:asciiTheme="minorHAnsi" w:hAnsiTheme="minorHAnsi"/>
      <w:color w:val="000000" w:themeColor="text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70504">
      <w:bodyDiv w:val="1"/>
      <w:marLeft w:val="0"/>
      <w:marRight w:val="0"/>
      <w:marTop w:val="0"/>
      <w:marBottom w:val="0"/>
      <w:divBdr>
        <w:top w:val="none" w:sz="0" w:space="0" w:color="auto"/>
        <w:left w:val="none" w:sz="0" w:space="0" w:color="auto"/>
        <w:bottom w:val="none" w:sz="0" w:space="0" w:color="auto"/>
        <w:right w:val="none" w:sz="0" w:space="0" w:color="auto"/>
      </w:divBdr>
    </w:div>
    <w:div w:id="819270170">
      <w:bodyDiv w:val="1"/>
      <w:marLeft w:val="0"/>
      <w:marRight w:val="0"/>
      <w:marTop w:val="0"/>
      <w:marBottom w:val="0"/>
      <w:divBdr>
        <w:top w:val="none" w:sz="0" w:space="0" w:color="auto"/>
        <w:left w:val="none" w:sz="0" w:space="0" w:color="auto"/>
        <w:bottom w:val="none" w:sz="0" w:space="0" w:color="auto"/>
        <w:right w:val="none" w:sz="0" w:space="0" w:color="auto"/>
      </w:divBdr>
    </w:div>
    <w:div w:id="889148040">
      <w:bodyDiv w:val="1"/>
      <w:marLeft w:val="0"/>
      <w:marRight w:val="0"/>
      <w:marTop w:val="0"/>
      <w:marBottom w:val="0"/>
      <w:divBdr>
        <w:top w:val="none" w:sz="0" w:space="0" w:color="auto"/>
        <w:left w:val="none" w:sz="0" w:space="0" w:color="auto"/>
        <w:bottom w:val="none" w:sz="0" w:space="0" w:color="auto"/>
        <w:right w:val="none" w:sz="0" w:space="0" w:color="auto"/>
      </w:divBdr>
    </w:div>
    <w:div w:id="937755084">
      <w:bodyDiv w:val="1"/>
      <w:marLeft w:val="0"/>
      <w:marRight w:val="0"/>
      <w:marTop w:val="0"/>
      <w:marBottom w:val="0"/>
      <w:divBdr>
        <w:top w:val="none" w:sz="0" w:space="0" w:color="auto"/>
        <w:left w:val="none" w:sz="0" w:space="0" w:color="auto"/>
        <w:bottom w:val="none" w:sz="0" w:space="0" w:color="auto"/>
        <w:right w:val="none" w:sz="0" w:space="0" w:color="auto"/>
      </w:divBdr>
    </w:div>
    <w:div w:id="967859330">
      <w:bodyDiv w:val="1"/>
      <w:marLeft w:val="0"/>
      <w:marRight w:val="0"/>
      <w:marTop w:val="0"/>
      <w:marBottom w:val="0"/>
      <w:divBdr>
        <w:top w:val="none" w:sz="0" w:space="0" w:color="auto"/>
        <w:left w:val="none" w:sz="0" w:space="0" w:color="auto"/>
        <w:bottom w:val="none" w:sz="0" w:space="0" w:color="auto"/>
        <w:right w:val="none" w:sz="0" w:space="0" w:color="auto"/>
      </w:divBdr>
    </w:div>
    <w:div w:id="1088307822">
      <w:bodyDiv w:val="1"/>
      <w:marLeft w:val="0"/>
      <w:marRight w:val="0"/>
      <w:marTop w:val="0"/>
      <w:marBottom w:val="0"/>
      <w:divBdr>
        <w:top w:val="none" w:sz="0" w:space="0" w:color="auto"/>
        <w:left w:val="none" w:sz="0" w:space="0" w:color="auto"/>
        <w:bottom w:val="none" w:sz="0" w:space="0" w:color="auto"/>
        <w:right w:val="none" w:sz="0" w:space="0" w:color="auto"/>
      </w:divBdr>
    </w:div>
    <w:div w:id="200605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ad.beer@bmtnews.com.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AB50F-3636-4DDF-ABFB-27AE246B6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dc:creator>
  <cp:lastModifiedBy>Rani Bonwick</cp:lastModifiedBy>
  <cp:revision>4</cp:revision>
  <cp:lastPrinted>2014-03-13T22:19:00Z</cp:lastPrinted>
  <dcterms:created xsi:type="dcterms:W3CDTF">2015-02-18T06:16:00Z</dcterms:created>
  <dcterms:modified xsi:type="dcterms:W3CDTF">2015-05-21T06:59:00Z</dcterms:modified>
</cp:coreProperties>
</file>